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2D82E" w14:textId="77777777" w:rsidR="007D1486" w:rsidRPr="00BE3A18" w:rsidRDefault="007D1486" w:rsidP="007D1486">
      <w:pPr>
        <w:pStyle w:val="MDPI12title"/>
        <w:spacing w:line="240" w:lineRule="atLeast"/>
      </w:pPr>
      <w:r w:rsidRPr="00D979BA">
        <w:t xml:space="preserve">Development of a high throughput method to study the inhibitory effect of phytochemicals on TMA formation. </w:t>
      </w:r>
    </w:p>
    <w:p w14:paraId="1B7C2565" w14:textId="77777777" w:rsidR="007D1486" w:rsidRPr="00BE3A18" w:rsidRDefault="007D1486" w:rsidP="007D1486">
      <w:pPr>
        <w:pStyle w:val="MDPI13authornames"/>
      </w:pPr>
      <w:proofErr w:type="spellStart"/>
      <w:r w:rsidRPr="008D3418">
        <w:t>Lisard</w:t>
      </w:r>
      <w:proofErr w:type="spellEnd"/>
      <w:r w:rsidRPr="008D3418">
        <w:t xml:space="preserve"> Iglesias-</w:t>
      </w:r>
      <w:proofErr w:type="spellStart"/>
      <w:r w:rsidRPr="008D3418">
        <w:t>Carres</w:t>
      </w:r>
      <w:proofErr w:type="spellEnd"/>
      <w:r>
        <w:t xml:space="preserve"> </w:t>
      </w:r>
      <w:r w:rsidRPr="00BE3A18">
        <w:rPr>
          <w:vertAlign w:val="superscript"/>
        </w:rPr>
        <w:t>1</w:t>
      </w:r>
      <w:r>
        <w:t xml:space="preserve">, Lauren </w:t>
      </w:r>
      <w:proofErr w:type="spellStart"/>
      <w:r>
        <w:t>Essenmacher</w:t>
      </w:r>
      <w:proofErr w:type="spellEnd"/>
      <w:r>
        <w:t xml:space="preserve"> </w:t>
      </w:r>
      <w:r w:rsidRPr="00BE3A18">
        <w:rPr>
          <w:vertAlign w:val="superscript"/>
        </w:rPr>
        <w:t>1</w:t>
      </w:r>
      <w:r>
        <w:t>, Kathryn C. Racine</w:t>
      </w:r>
      <w:r w:rsidRPr="00EF46A8">
        <w:rPr>
          <w:vertAlign w:val="superscript"/>
        </w:rPr>
        <w:t>1</w:t>
      </w:r>
      <w:r>
        <w:t xml:space="preserve">, Andrew P. Neilson </w:t>
      </w:r>
      <w:proofErr w:type="gramStart"/>
      <w:r>
        <w:rPr>
          <w:vertAlign w:val="superscript"/>
        </w:rPr>
        <w:t>1</w:t>
      </w:r>
      <w:r w:rsidRPr="00BD32C3">
        <w:rPr>
          <w:vertAlign w:val="superscript"/>
        </w:rPr>
        <w:t>,</w:t>
      </w:r>
      <w:r w:rsidRPr="00BD32C3">
        <w:t>*</w:t>
      </w:r>
      <w:proofErr w:type="gramEnd"/>
    </w:p>
    <w:p w14:paraId="04B34E84" w14:textId="77777777" w:rsidR="007D1486" w:rsidRPr="00BE3A18" w:rsidRDefault="007D1486" w:rsidP="007D1486">
      <w:pPr>
        <w:pStyle w:val="MDPI16affiliation"/>
        <w:rPr>
          <w:szCs w:val="20"/>
        </w:rPr>
      </w:pPr>
      <w:r>
        <w:rPr>
          <w:szCs w:val="20"/>
          <w:vertAlign w:val="superscript"/>
        </w:rPr>
        <w:t>1</w:t>
      </w:r>
      <w:r>
        <w:rPr>
          <w:szCs w:val="20"/>
          <w:vertAlign w:val="superscript"/>
        </w:rPr>
        <w:tab/>
      </w:r>
      <w:r w:rsidRPr="00BE3A18">
        <w:rPr>
          <w:szCs w:val="20"/>
        </w:rPr>
        <w:t>Plants for Human Health Institute, Department of Food, Bioprocessing and Nutrition Sciences, North Carolina State University, Kannapolis, NC. L.I-C. (</w:t>
      </w:r>
      <w:hyperlink r:id="rId5" w:history="1">
        <w:r w:rsidRPr="00BE3A18">
          <w:rPr>
            <w:szCs w:val="20"/>
          </w:rPr>
          <w:t>liglesi@ncsu.edu</w:t>
        </w:r>
      </w:hyperlink>
      <w:r w:rsidRPr="00BE3A18">
        <w:rPr>
          <w:szCs w:val="20"/>
        </w:rPr>
        <w:t xml:space="preserve">); </w:t>
      </w:r>
      <w:r w:rsidRPr="00F4717E">
        <w:rPr>
          <w:szCs w:val="20"/>
        </w:rPr>
        <w:t xml:space="preserve">L.E. (laessenm@ncsu.edu); </w:t>
      </w:r>
      <w:r w:rsidRPr="00EF46A8">
        <w:rPr>
          <w:szCs w:val="20"/>
        </w:rPr>
        <w:t>K.C.R. (</w:t>
      </w:r>
      <w:hyperlink r:id="rId6" w:history="1">
        <w:r w:rsidRPr="00F4717E">
          <w:t>kcracine@ncsu.edu</w:t>
        </w:r>
      </w:hyperlink>
      <w:r w:rsidRPr="00EF46A8">
        <w:rPr>
          <w:szCs w:val="20"/>
        </w:rPr>
        <w:t>);</w:t>
      </w:r>
      <w:r>
        <w:rPr>
          <w:szCs w:val="20"/>
        </w:rPr>
        <w:t xml:space="preserve"> </w:t>
      </w:r>
      <w:r w:rsidRPr="00BE3A18">
        <w:rPr>
          <w:szCs w:val="20"/>
        </w:rPr>
        <w:t>A.P.N. (aneilso@ncsu.edu)</w:t>
      </w:r>
    </w:p>
    <w:p w14:paraId="6DD7C19E" w14:textId="77777777" w:rsidR="007D1486" w:rsidRDefault="007D1486" w:rsidP="007D1486">
      <w:pPr>
        <w:pStyle w:val="MDPI14history"/>
        <w:spacing w:before="0"/>
        <w:ind w:left="311" w:hanging="198"/>
      </w:pPr>
      <w:r w:rsidRPr="00BD32C3">
        <w:rPr>
          <w:b/>
        </w:rPr>
        <w:t>*</w:t>
      </w:r>
      <w:r w:rsidRPr="00BD32C3">
        <w:tab/>
        <w:t xml:space="preserve">Correspondence: </w:t>
      </w:r>
      <w:hyperlink r:id="rId7" w:history="1">
        <w:r w:rsidRPr="00CB01A5">
          <w:rPr>
            <w:rStyle w:val="Hyperlink"/>
          </w:rPr>
          <w:t>aneilso@ncsu.edu</w:t>
        </w:r>
      </w:hyperlink>
      <w:r>
        <w:t xml:space="preserve">. </w:t>
      </w:r>
    </w:p>
    <w:p w14:paraId="5D4F8663" w14:textId="2D7289A5" w:rsidR="00333E16" w:rsidRDefault="00B2643E"/>
    <w:p w14:paraId="1E173BDC" w14:textId="7C60343F" w:rsidR="007D1486" w:rsidRDefault="007D1486"/>
    <w:p w14:paraId="11C1401D" w14:textId="63001A71" w:rsidR="007D1486" w:rsidRDefault="007D1486"/>
    <w:p w14:paraId="714B9F53" w14:textId="77777777" w:rsidR="007D1486" w:rsidRDefault="007D1486" w:rsidP="007D1486">
      <w:pPr>
        <w:spacing w:line="360" w:lineRule="auto"/>
        <w:jc w:val="center"/>
      </w:pPr>
      <w:r>
        <w:rPr>
          <w:noProof/>
        </w:rPr>
        <w:drawing>
          <wp:inline distT="0" distB="0" distL="0" distR="0" wp14:anchorId="2051231F" wp14:editId="63BD2F81">
            <wp:extent cx="4392944" cy="3680029"/>
            <wp:effectExtent l="0" t="0" r="127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3788" cy="369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C1C93" w14:textId="66723DE2" w:rsidR="007D1486" w:rsidRPr="00120730" w:rsidRDefault="007D1486" w:rsidP="007D1486">
      <w:pPr>
        <w:pStyle w:val="MDPI31text"/>
        <w:ind w:left="810" w:right="834" w:firstLine="0"/>
        <w:rPr>
          <w:sz w:val="16"/>
          <w:szCs w:val="16"/>
        </w:rPr>
      </w:pPr>
      <w:r w:rsidRPr="00120730">
        <w:rPr>
          <w:b/>
          <w:bCs/>
          <w:sz w:val="16"/>
          <w:szCs w:val="16"/>
        </w:rPr>
        <w:t xml:space="preserve">Figure </w:t>
      </w:r>
      <w:r>
        <w:rPr>
          <w:b/>
          <w:bCs/>
          <w:sz w:val="16"/>
          <w:szCs w:val="16"/>
        </w:rPr>
        <w:t>S</w:t>
      </w:r>
      <w:r w:rsidRPr="00120730">
        <w:rPr>
          <w:b/>
          <w:bCs/>
          <w:sz w:val="16"/>
          <w:szCs w:val="16"/>
        </w:rPr>
        <w:t xml:space="preserve">1: </w:t>
      </w:r>
      <w:r w:rsidRPr="00120730">
        <w:rPr>
          <w:sz w:val="16"/>
          <w:szCs w:val="16"/>
        </w:rPr>
        <w:t>Effect of gallic acid and chlorogenic acid (</w:t>
      </w:r>
      <w:r w:rsidRPr="00120730">
        <w:rPr>
          <w:b/>
          <w:bCs/>
          <w:sz w:val="16"/>
          <w:szCs w:val="16"/>
        </w:rPr>
        <w:t>A – B</w:t>
      </w:r>
      <w:r w:rsidRPr="00120730">
        <w:rPr>
          <w:sz w:val="16"/>
          <w:szCs w:val="16"/>
        </w:rPr>
        <w:t>) in the peak area of betaine relativized to its internal standard betaine-d</w:t>
      </w:r>
      <w:r w:rsidRPr="00983C0D">
        <w:rPr>
          <w:sz w:val="16"/>
          <w:szCs w:val="16"/>
          <w:vertAlign w:val="subscript"/>
        </w:rPr>
        <w:t>9</w:t>
      </w:r>
      <w:r w:rsidRPr="00120730">
        <w:rPr>
          <w:sz w:val="16"/>
          <w:szCs w:val="16"/>
        </w:rPr>
        <w:t>. Relative changes in betaine/betaine-d</w:t>
      </w:r>
      <w:r w:rsidRPr="005C43F2">
        <w:rPr>
          <w:sz w:val="16"/>
          <w:szCs w:val="16"/>
          <w:vertAlign w:val="subscript"/>
        </w:rPr>
        <w:t>9</w:t>
      </w:r>
      <w:r w:rsidRPr="00120730">
        <w:rPr>
          <w:sz w:val="16"/>
          <w:szCs w:val="16"/>
        </w:rPr>
        <w:t xml:space="preserve"> versus choline 100 </w:t>
      </w:r>
      <w:r w:rsidRPr="00120730">
        <w:rPr>
          <w:sz w:val="16"/>
          <w:szCs w:val="16"/>
        </w:rPr>
        <w:sym w:font="Symbol" w:char="F06D"/>
      </w:r>
      <w:r w:rsidRPr="00120730">
        <w:rPr>
          <w:sz w:val="16"/>
          <w:szCs w:val="16"/>
        </w:rPr>
        <w:t>M conditions (</w:t>
      </w:r>
      <w:r w:rsidRPr="00120730">
        <w:rPr>
          <w:b/>
          <w:bCs/>
          <w:sz w:val="16"/>
          <w:szCs w:val="16"/>
        </w:rPr>
        <w:t>C-D</w:t>
      </w:r>
      <w:r w:rsidRPr="00120730">
        <w:rPr>
          <w:sz w:val="16"/>
          <w:szCs w:val="16"/>
        </w:rPr>
        <w:t xml:space="preserve">). All fermentations were carried out at optimal conditions (fecal slurry 20 % and choline 100 </w:t>
      </w:r>
      <w:r w:rsidRPr="00120730">
        <w:rPr>
          <w:sz w:val="16"/>
          <w:szCs w:val="16"/>
        </w:rPr>
        <w:sym w:font="Symbol" w:char="F06D"/>
      </w:r>
      <w:r w:rsidRPr="00120730">
        <w:rPr>
          <w:sz w:val="16"/>
          <w:szCs w:val="16"/>
        </w:rPr>
        <w:t xml:space="preserve">M). Results are expressed as % </w:t>
      </w:r>
      <w:r w:rsidRPr="00120730">
        <w:rPr>
          <w:sz w:val="16"/>
          <w:szCs w:val="16"/>
        </w:rPr>
        <w:sym w:font="Symbol" w:char="F0B1"/>
      </w:r>
      <w:r w:rsidRPr="00120730">
        <w:rPr>
          <w:sz w:val="16"/>
          <w:szCs w:val="16"/>
        </w:rPr>
        <w:t xml:space="preserve"> SEM (</w:t>
      </w:r>
      <w:r w:rsidRPr="00120730">
        <w:rPr>
          <w:i/>
          <w:iCs/>
          <w:sz w:val="16"/>
          <w:szCs w:val="16"/>
        </w:rPr>
        <w:t>n</w:t>
      </w:r>
      <w:r w:rsidRPr="00120730">
        <w:rPr>
          <w:sz w:val="16"/>
          <w:szCs w:val="16"/>
        </w:rPr>
        <w:t>=6). Different letters indicate statistical differences (p&lt;0.05) by One-way</w:t>
      </w:r>
      <w:r>
        <w:rPr>
          <w:sz w:val="16"/>
          <w:szCs w:val="16"/>
        </w:rPr>
        <w:t xml:space="preserve"> (</w:t>
      </w:r>
      <w:r>
        <w:rPr>
          <w:b/>
          <w:bCs/>
          <w:sz w:val="16"/>
          <w:szCs w:val="16"/>
        </w:rPr>
        <w:t>C</w:t>
      </w:r>
      <w:r w:rsidRPr="00AF509B">
        <w:rPr>
          <w:b/>
          <w:bCs/>
          <w:sz w:val="16"/>
          <w:szCs w:val="16"/>
        </w:rPr>
        <w:t xml:space="preserve"> – </w:t>
      </w:r>
      <w:r>
        <w:rPr>
          <w:b/>
          <w:bCs/>
          <w:sz w:val="16"/>
          <w:szCs w:val="16"/>
        </w:rPr>
        <w:t>D</w:t>
      </w:r>
      <w:r>
        <w:rPr>
          <w:sz w:val="16"/>
          <w:szCs w:val="16"/>
        </w:rPr>
        <w:t>)</w:t>
      </w:r>
      <w:r w:rsidRPr="00120730">
        <w:rPr>
          <w:sz w:val="16"/>
          <w:szCs w:val="16"/>
        </w:rPr>
        <w:t xml:space="preserve"> or Two-way</w:t>
      </w:r>
      <w:r>
        <w:rPr>
          <w:sz w:val="16"/>
          <w:szCs w:val="16"/>
        </w:rPr>
        <w:t xml:space="preserve"> (</w:t>
      </w:r>
      <w:r>
        <w:rPr>
          <w:b/>
          <w:bCs/>
          <w:sz w:val="16"/>
          <w:szCs w:val="16"/>
        </w:rPr>
        <w:t>A</w:t>
      </w:r>
      <w:r w:rsidRPr="00AF509B">
        <w:rPr>
          <w:b/>
          <w:bCs/>
          <w:sz w:val="16"/>
          <w:szCs w:val="16"/>
        </w:rPr>
        <w:t xml:space="preserve"> – </w:t>
      </w:r>
      <w:r>
        <w:rPr>
          <w:b/>
          <w:bCs/>
          <w:sz w:val="16"/>
          <w:szCs w:val="16"/>
        </w:rPr>
        <w:t>B</w:t>
      </w:r>
      <w:r>
        <w:rPr>
          <w:sz w:val="16"/>
          <w:szCs w:val="16"/>
        </w:rPr>
        <w:t>)</w:t>
      </w:r>
      <w:r w:rsidRPr="00120730">
        <w:rPr>
          <w:sz w:val="16"/>
          <w:szCs w:val="16"/>
        </w:rPr>
        <w:t xml:space="preserve"> ANOVA (Tukey’s post hoc test). Factors for Two-way ANOVA were gallic acid or chlorogenic acid concentration and time. Abbreviations: DMB, 3,3-dimethyl-1-butanol; GA, gallic acid; and </w:t>
      </w:r>
      <w:proofErr w:type="spellStart"/>
      <w:r w:rsidRPr="00120730">
        <w:rPr>
          <w:sz w:val="16"/>
          <w:szCs w:val="16"/>
        </w:rPr>
        <w:t>Chl</w:t>
      </w:r>
      <w:proofErr w:type="spellEnd"/>
      <w:r w:rsidRPr="00120730">
        <w:rPr>
          <w:sz w:val="16"/>
          <w:szCs w:val="16"/>
        </w:rPr>
        <w:t>, chlorogenic acid.</w:t>
      </w:r>
    </w:p>
    <w:p w14:paraId="16035D5C" w14:textId="6BD4607F" w:rsidR="007D1486" w:rsidRDefault="007D1486"/>
    <w:p w14:paraId="4D86D2E9" w14:textId="48560857" w:rsidR="007D1486" w:rsidRDefault="007D1486"/>
    <w:p w14:paraId="278AC753" w14:textId="120D8D34" w:rsidR="007D1486" w:rsidRDefault="007D1486"/>
    <w:p w14:paraId="2B30FF7A" w14:textId="77777777" w:rsidR="007D1486" w:rsidRDefault="007D1486"/>
    <w:p w14:paraId="0B7A6399" w14:textId="77777777" w:rsidR="007D1486" w:rsidRDefault="007D1486"/>
    <w:p w14:paraId="0BE45766" w14:textId="7035EC73" w:rsidR="007D1486" w:rsidRPr="00120730" w:rsidRDefault="007D1486" w:rsidP="007D1486">
      <w:pPr>
        <w:pStyle w:val="MDPI31text"/>
        <w:spacing w:line="240" w:lineRule="auto"/>
        <w:ind w:left="1440" w:right="1374" w:firstLine="0"/>
        <w:rPr>
          <w:rFonts w:eastAsiaTheme="minorHAnsi" w:cstheme="minorBidi"/>
          <w:color w:val="000000" w:themeColor="text1"/>
          <w:sz w:val="16"/>
          <w:szCs w:val="16"/>
        </w:rPr>
      </w:pPr>
      <w:r w:rsidRPr="00120730">
        <w:rPr>
          <w:rFonts w:eastAsiaTheme="minorHAnsi" w:cstheme="minorBidi"/>
          <w:b/>
          <w:bCs/>
          <w:color w:val="000000" w:themeColor="text1"/>
          <w:sz w:val="16"/>
          <w:szCs w:val="16"/>
        </w:rPr>
        <w:lastRenderedPageBreak/>
        <w:t xml:space="preserve">Table </w:t>
      </w:r>
      <w:r>
        <w:rPr>
          <w:rFonts w:eastAsiaTheme="minorHAnsi" w:cstheme="minorBidi"/>
          <w:b/>
          <w:bCs/>
          <w:color w:val="000000" w:themeColor="text1"/>
          <w:sz w:val="16"/>
          <w:szCs w:val="16"/>
        </w:rPr>
        <w:t>S</w:t>
      </w:r>
      <w:r w:rsidRPr="00120730">
        <w:rPr>
          <w:rFonts w:eastAsiaTheme="minorHAnsi" w:cstheme="minorBidi"/>
          <w:b/>
          <w:bCs/>
          <w:color w:val="000000" w:themeColor="text1"/>
          <w:sz w:val="16"/>
          <w:szCs w:val="16"/>
        </w:rPr>
        <w:fldChar w:fldCharType="begin"/>
      </w:r>
      <w:r w:rsidRPr="00120730">
        <w:rPr>
          <w:rFonts w:eastAsiaTheme="minorHAnsi" w:cstheme="minorBidi"/>
          <w:b/>
          <w:bCs/>
          <w:color w:val="000000" w:themeColor="text1"/>
          <w:sz w:val="16"/>
          <w:szCs w:val="16"/>
        </w:rPr>
        <w:instrText xml:space="preserve"> SEQ Table \* ARABIC </w:instrText>
      </w:r>
      <w:r w:rsidRPr="00120730">
        <w:rPr>
          <w:rFonts w:eastAsiaTheme="minorHAnsi" w:cstheme="minorBidi"/>
          <w:b/>
          <w:bCs/>
          <w:color w:val="000000" w:themeColor="text1"/>
          <w:sz w:val="16"/>
          <w:szCs w:val="16"/>
        </w:rPr>
        <w:fldChar w:fldCharType="separate"/>
      </w:r>
      <w:r w:rsidRPr="00120730">
        <w:rPr>
          <w:rFonts w:eastAsiaTheme="minorHAnsi" w:cstheme="minorBidi"/>
          <w:b/>
          <w:bCs/>
          <w:color w:val="000000" w:themeColor="text1"/>
          <w:sz w:val="16"/>
          <w:szCs w:val="16"/>
        </w:rPr>
        <w:t>1</w:t>
      </w:r>
      <w:r w:rsidRPr="00120730">
        <w:rPr>
          <w:rFonts w:eastAsiaTheme="minorHAnsi" w:cstheme="minorBidi"/>
          <w:b/>
          <w:bCs/>
          <w:color w:val="000000" w:themeColor="text1"/>
          <w:sz w:val="16"/>
          <w:szCs w:val="16"/>
        </w:rPr>
        <w:fldChar w:fldCharType="end"/>
      </w:r>
      <w:r w:rsidRPr="00120730">
        <w:rPr>
          <w:rFonts w:eastAsiaTheme="minorHAnsi" w:cstheme="minorBidi"/>
          <w:color w:val="000000" w:themeColor="text1"/>
          <w:sz w:val="16"/>
          <w:szCs w:val="16"/>
        </w:rPr>
        <w:t xml:space="preserve">: Molecular weight (MW), retention time (RT) and optimized MRM condition for TMA and related compounds.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656"/>
        <w:gridCol w:w="877"/>
        <w:gridCol w:w="1530"/>
        <w:gridCol w:w="728"/>
        <w:gridCol w:w="780"/>
      </w:tblGrid>
      <w:tr w:rsidR="007D1486" w:rsidRPr="005051D2" w14:paraId="0C4D7893" w14:textId="77777777" w:rsidTr="006303C7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51F989F8" w14:textId="77777777" w:rsidR="007D1486" w:rsidRPr="005051D2" w:rsidRDefault="007D1486" w:rsidP="006303C7">
            <w:pPr>
              <w:rPr>
                <w:rFonts w:ascii="Palatino Linotype" w:hAnsi="Palatino Linotype" w:cs="Calibri"/>
                <w:b/>
                <w:bCs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Compound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2EC57C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b/>
                <w:bCs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MW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65B1072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b/>
                <w:bCs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RT (min)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E92BC8E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b/>
                <w:bCs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MS/MS transition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E5876F1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b/>
                <w:bCs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CV (V)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2D7CFD8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b/>
                <w:bCs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CE (eV)</w:t>
            </w:r>
          </w:p>
        </w:tc>
      </w:tr>
      <w:tr w:rsidR="007D1486" w:rsidRPr="005051D2" w14:paraId="4B199E70" w14:textId="77777777" w:rsidTr="006303C7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1317507C" w14:textId="77777777" w:rsidR="007D1486" w:rsidRPr="005051D2" w:rsidRDefault="007D1486" w:rsidP="006303C7">
            <w:pPr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Choline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077578E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103.16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D668008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1.01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4A9B81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104.2&gt;60.0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93C9F1F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B13A63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16</w:t>
            </w:r>
          </w:p>
        </w:tc>
      </w:tr>
      <w:tr w:rsidR="007D1486" w:rsidRPr="005051D2" w14:paraId="75F4D199" w14:textId="77777777" w:rsidTr="006303C7">
        <w:trPr>
          <w:jc w:val="center"/>
        </w:trPr>
        <w:tc>
          <w:tcPr>
            <w:tcW w:w="0" w:type="auto"/>
          </w:tcPr>
          <w:p w14:paraId="30E00A8D" w14:textId="77777777" w:rsidR="007D1486" w:rsidRPr="005051D2" w:rsidRDefault="007D1486" w:rsidP="006303C7">
            <w:pPr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Choline-d</w:t>
            </w:r>
            <w:r w:rsidRPr="00B2643E">
              <w:rPr>
                <w:rFonts w:ascii="Palatino Linotype" w:hAnsi="Palatino Linotype" w:cs="Calibri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0" w:type="auto"/>
          </w:tcPr>
          <w:p w14:paraId="1E01913A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112.16</w:t>
            </w:r>
          </w:p>
        </w:tc>
        <w:tc>
          <w:tcPr>
            <w:tcW w:w="0" w:type="auto"/>
          </w:tcPr>
          <w:p w14:paraId="3D2D14EB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1.02</w:t>
            </w:r>
          </w:p>
        </w:tc>
        <w:tc>
          <w:tcPr>
            <w:tcW w:w="0" w:type="auto"/>
          </w:tcPr>
          <w:p w14:paraId="058853B7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113.3&gt;69.1</w:t>
            </w:r>
          </w:p>
        </w:tc>
        <w:tc>
          <w:tcPr>
            <w:tcW w:w="0" w:type="auto"/>
          </w:tcPr>
          <w:p w14:paraId="5A004CE0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40</w:t>
            </w:r>
          </w:p>
        </w:tc>
        <w:tc>
          <w:tcPr>
            <w:tcW w:w="0" w:type="auto"/>
          </w:tcPr>
          <w:p w14:paraId="58920C75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16</w:t>
            </w:r>
          </w:p>
        </w:tc>
      </w:tr>
      <w:tr w:rsidR="007D1486" w:rsidRPr="005051D2" w14:paraId="74E3CEC4" w14:textId="77777777" w:rsidTr="006303C7">
        <w:trPr>
          <w:jc w:val="center"/>
        </w:trPr>
        <w:tc>
          <w:tcPr>
            <w:tcW w:w="0" w:type="auto"/>
          </w:tcPr>
          <w:p w14:paraId="4C19C667" w14:textId="77777777" w:rsidR="007D1486" w:rsidRPr="005051D2" w:rsidRDefault="007D1486" w:rsidP="006303C7">
            <w:pPr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L-carnitine</w:t>
            </w:r>
          </w:p>
        </w:tc>
        <w:tc>
          <w:tcPr>
            <w:tcW w:w="0" w:type="auto"/>
          </w:tcPr>
          <w:p w14:paraId="13DD45F2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161.20</w:t>
            </w:r>
          </w:p>
        </w:tc>
        <w:tc>
          <w:tcPr>
            <w:tcW w:w="0" w:type="auto"/>
          </w:tcPr>
          <w:p w14:paraId="2AD1174D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2.17</w:t>
            </w:r>
          </w:p>
        </w:tc>
        <w:tc>
          <w:tcPr>
            <w:tcW w:w="0" w:type="auto"/>
          </w:tcPr>
          <w:p w14:paraId="3277BC44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162.3&gt;85.0</w:t>
            </w:r>
          </w:p>
        </w:tc>
        <w:tc>
          <w:tcPr>
            <w:tcW w:w="0" w:type="auto"/>
          </w:tcPr>
          <w:p w14:paraId="367E47A2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34</w:t>
            </w:r>
          </w:p>
        </w:tc>
        <w:tc>
          <w:tcPr>
            <w:tcW w:w="0" w:type="auto"/>
          </w:tcPr>
          <w:p w14:paraId="258EDDE8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20</w:t>
            </w:r>
          </w:p>
        </w:tc>
      </w:tr>
      <w:tr w:rsidR="007D1486" w:rsidRPr="005051D2" w14:paraId="373AD8BD" w14:textId="77777777" w:rsidTr="006303C7">
        <w:trPr>
          <w:jc w:val="center"/>
        </w:trPr>
        <w:tc>
          <w:tcPr>
            <w:tcW w:w="0" w:type="auto"/>
          </w:tcPr>
          <w:p w14:paraId="62802BF6" w14:textId="77777777" w:rsidR="007D1486" w:rsidRPr="005051D2" w:rsidRDefault="007D1486" w:rsidP="006303C7">
            <w:pPr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L-carnitine-d</w:t>
            </w:r>
            <w:r w:rsidRPr="00B2643E">
              <w:rPr>
                <w:rFonts w:ascii="Palatino Linotype" w:hAnsi="Palatino Linotype" w:cs="Calibri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0" w:type="auto"/>
          </w:tcPr>
          <w:p w14:paraId="6A2378D2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170.25</w:t>
            </w:r>
          </w:p>
        </w:tc>
        <w:tc>
          <w:tcPr>
            <w:tcW w:w="0" w:type="auto"/>
          </w:tcPr>
          <w:p w14:paraId="6DDF052D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2.17</w:t>
            </w:r>
          </w:p>
        </w:tc>
        <w:tc>
          <w:tcPr>
            <w:tcW w:w="0" w:type="auto"/>
          </w:tcPr>
          <w:p w14:paraId="1FD676FA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171.3&gt;85.0</w:t>
            </w:r>
          </w:p>
        </w:tc>
        <w:tc>
          <w:tcPr>
            <w:tcW w:w="0" w:type="auto"/>
          </w:tcPr>
          <w:p w14:paraId="019F1064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34</w:t>
            </w:r>
          </w:p>
        </w:tc>
        <w:tc>
          <w:tcPr>
            <w:tcW w:w="0" w:type="auto"/>
          </w:tcPr>
          <w:p w14:paraId="4E448F50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20</w:t>
            </w:r>
          </w:p>
        </w:tc>
      </w:tr>
      <w:tr w:rsidR="007D1486" w:rsidRPr="005051D2" w14:paraId="16179CC4" w14:textId="77777777" w:rsidTr="006303C7">
        <w:trPr>
          <w:jc w:val="center"/>
        </w:trPr>
        <w:tc>
          <w:tcPr>
            <w:tcW w:w="0" w:type="auto"/>
          </w:tcPr>
          <w:p w14:paraId="6799A672" w14:textId="77777777" w:rsidR="007D1486" w:rsidRPr="005051D2" w:rsidRDefault="007D1486" w:rsidP="006303C7">
            <w:pPr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Betaine</w:t>
            </w:r>
          </w:p>
        </w:tc>
        <w:tc>
          <w:tcPr>
            <w:tcW w:w="0" w:type="auto"/>
          </w:tcPr>
          <w:p w14:paraId="0C9350D0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117.15</w:t>
            </w:r>
          </w:p>
        </w:tc>
        <w:tc>
          <w:tcPr>
            <w:tcW w:w="0" w:type="auto"/>
          </w:tcPr>
          <w:p w14:paraId="0A8FF689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1.07</w:t>
            </w:r>
          </w:p>
        </w:tc>
        <w:tc>
          <w:tcPr>
            <w:tcW w:w="0" w:type="auto"/>
          </w:tcPr>
          <w:p w14:paraId="4FF1975F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118.2&gt;59.4</w:t>
            </w:r>
          </w:p>
        </w:tc>
        <w:tc>
          <w:tcPr>
            <w:tcW w:w="0" w:type="auto"/>
          </w:tcPr>
          <w:p w14:paraId="0248FACC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44</w:t>
            </w:r>
          </w:p>
        </w:tc>
        <w:tc>
          <w:tcPr>
            <w:tcW w:w="0" w:type="auto"/>
          </w:tcPr>
          <w:p w14:paraId="44CA0B12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18</w:t>
            </w:r>
          </w:p>
        </w:tc>
      </w:tr>
      <w:tr w:rsidR="007D1486" w:rsidRPr="005051D2" w14:paraId="4778B0F1" w14:textId="77777777" w:rsidTr="006303C7">
        <w:trPr>
          <w:jc w:val="center"/>
        </w:trPr>
        <w:tc>
          <w:tcPr>
            <w:tcW w:w="0" w:type="auto"/>
          </w:tcPr>
          <w:p w14:paraId="22E5D2E9" w14:textId="77777777" w:rsidR="007D1486" w:rsidRPr="005051D2" w:rsidRDefault="007D1486" w:rsidP="006303C7">
            <w:pPr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Betaine-d</w:t>
            </w:r>
            <w:r w:rsidRPr="00B2643E">
              <w:rPr>
                <w:rFonts w:ascii="Palatino Linotype" w:hAnsi="Palatino Linotype" w:cs="Calibri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0" w:type="auto"/>
          </w:tcPr>
          <w:p w14:paraId="65D907F6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126.15</w:t>
            </w:r>
          </w:p>
        </w:tc>
        <w:tc>
          <w:tcPr>
            <w:tcW w:w="0" w:type="auto"/>
          </w:tcPr>
          <w:p w14:paraId="521367F8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1.07</w:t>
            </w:r>
          </w:p>
        </w:tc>
        <w:tc>
          <w:tcPr>
            <w:tcW w:w="0" w:type="auto"/>
          </w:tcPr>
          <w:p w14:paraId="4D887BBF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127.3&gt;68.1</w:t>
            </w:r>
          </w:p>
        </w:tc>
        <w:tc>
          <w:tcPr>
            <w:tcW w:w="0" w:type="auto"/>
          </w:tcPr>
          <w:p w14:paraId="08002263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46</w:t>
            </w:r>
          </w:p>
        </w:tc>
        <w:tc>
          <w:tcPr>
            <w:tcW w:w="0" w:type="auto"/>
          </w:tcPr>
          <w:p w14:paraId="0833D4D5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18</w:t>
            </w:r>
          </w:p>
        </w:tc>
      </w:tr>
      <w:tr w:rsidR="007D1486" w:rsidRPr="005051D2" w14:paraId="17BAF349" w14:textId="77777777" w:rsidTr="006303C7">
        <w:trPr>
          <w:jc w:val="center"/>
        </w:trPr>
        <w:tc>
          <w:tcPr>
            <w:tcW w:w="0" w:type="auto"/>
          </w:tcPr>
          <w:p w14:paraId="7C28E4EA" w14:textId="77777777" w:rsidR="007D1486" w:rsidRPr="005051D2" w:rsidRDefault="007D1486" w:rsidP="006303C7">
            <w:pPr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sym w:font="Symbol" w:char="F067"/>
            </w:r>
            <w:r w:rsidRPr="005051D2">
              <w:rPr>
                <w:rFonts w:ascii="Palatino Linotype" w:hAnsi="Palatino Linotype" w:cs="Calibri"/>
                <w:sz w:val="16"/>
                <w:szCs w:val="16"/>
              </w:rPr>
              <w:t>-Butyrobetaine</w:t>
            </w:r>
          </w:p>
        </w:tc>
        <w:tc>
          <w:tcPr>
            <w:tcW w:w="0" w:type="auto"/>
          </w:tcPr>
          <w:p w14:paraId="47E2DD44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145.20</w:t>
            </w:r>
          </w:p>
        </w:tc>
        <w:tc>
          <w:tcPr>
            <w:tcW w:w="0" w:type="auto"/>
          </w:tcPr>
          <w:p w14:paraId="654F6812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2.26</w:t>
            </w:r>
          </w:p>
        </w:tc>
        <w:tc>
          <w:tcPr>
            <w:tcW w:w="0" w:type="auto"/>
          </w:tcPr>
          <w:p w14:paraId="325869BC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146.3&gt;87.0</w:t>
            </w:r>
          </w:p>
        </w:tc>
        <w:tc>
          <w:tcPr>
            <w:tcW w:w="0" w:type="auto"/>
          </w:tcPr>
          <w:p w14:paraId="04DD1A0E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26</w:t>
            </w:r>
          </w:p>
        </w:tc>
        <w:tc>
          <w:tcPr>
            <w:tcW w:w="0" w:type="auto"/>
          </w:tcPr>
          <w:p w14:paraId="313D4CE0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16</w:t>
            </w:r>
          </w:p>
        </w:tc>
      </w:tr>
      <w:tr w:rsidR="007D1486" w:rsidRPr="005051D2" w14:paraId="79A537F1" w14:textId="77777777" w:rsidTr="006303C7">
        <w:trPr>
          <w:jc w:val="center"/>
        </w:trPr>
        <w:tc>
          <w:tcPr>
            <w:tcW w:w="0" w:type="auto"/>
          </w:tcPr>
          <w:p w14:paraId="7A13FD0D" w14:textId="77777777" w:rsidR="007D1486" w:rsidRPr="005051D2" w:rsidRDefault="007D1486" w:rsidP="006303C7">
            <w:pPr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TMAO</w:t>
            </w:r>
          </w:p>
        </w:tc>
        <w:tc>
          <w:tcPr>
            <w:tcW w:w="0" w:type="auto"/>
          </w:tcPr>
          <w:p w14:paraId="6BDFCB24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75.11</w:t>
            </w:r>
          </w:p>
        </w:tc>
        <w:tc>
          <w:tcPr>
            <w:tcW w:w="0" w:type="auto"/>
          </w:tcPr>
          <w:p w14:paraId="038101D1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1.35</w:t>
            </w:r>
          </w:p>
        </w:tc>
        <w:tc>
          <w:tcPr>
            <w:tcW w:w="0" w:type="auto"/>
          </w:tcPr>
          <w:p w14:paraId="072F6B66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76.2&gt;58.9</w:t>
            </w:r>
          </w:p>
        </w:tc>
        <w:tc>
          <w:tcPr>
            <w:tcW w:w="0" w:type="auto"/>
          </w:tcPr>
          <w:p w14:paraId="4137CB92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40</w:t>
            </w:r>
          </w:p>
        </w:tc>
        <w:tc>
          <w:tcPr>
            <w:tcW w:w="0" w:type="auto"/>
          </w:tcPr>
          <w:p w14:paraId="14897DA1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10</w:t>
            </w:r>
          </w:p>
        </w:tc>
      </w:tr>
      <w:tr w:rsidR="007D1486" w:rsidRPr="005051D2" w14:paraId="001A67BB" w14:textId="77777777" w:rsidTr="006303C7">
        <w:trPr>
          <w:jc w:val="center"/>
        </w:trPr>
        <w:tc>
          <w:tcPr>
            <w:tcW w:w="0" w:type="auto"/>
          </w:tcPr>
          <w:p w14:paraId="52600A11" w14:textId="77777777" w:rsidR="007D1486" w:rsidRPr="005051D2" w:rsidRDefault="007D1486" w:rsidP="006303C7">
            <w:pPr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TMAO-d</w:t>
            </w:r>
            <w:r w:rsidRPr="00B2643E">
              <w:rPr>
                <w:rFonts w:ascii="Palatino Linotype" w:hAnsi="Palatino Linotype" w:cs="Calibri"/>
                <w:sz w:val="16"/>
                <w:szCs w:val="16"/>
                <w:vertAlign w:val="subscript"/>
              </w:rPr>
              <w:t>9</w:t>
            </w:r>
          </w:p>
        </w:tc>
        <w:tc>
          <w:tcPr>
            <w:tcW w:w="0" w:type="auto"/>
          </w:tcPr>
          <w:p w14:paraId="496F0F35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84.12</w:t>
            </w:r>
          </w:p>
        </w:tc>
        <w:tc>
          <w:tcPr>
            <w:tcW w:w="0" w:type="auto"/>
          </w:tcPr>
          <w:p w14:paraId="44A746B6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1.39</w:t>
            </w:r>
          </w:p>
        </w:tc>
        <w:tc>
          <w:tcPr>
            <w:tcW w:w="0" w:type="auto"/>
          </w:tcPr>
          <w:p w14:paraId="60508184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85.2&gt;68.1</w:t>
            </w:r>
          </w:p>
        </w:tc>
        <w:tc>
          <w:tcPr>
            <w:tcW w:w="0" w:type="auto"/>
          </w:tcPr>
          <w:p w14:paraId="0B859726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40</w:t>
            </w:r>
          </w:p>
        </w:tc>
        <w:tc>
          <w:tcPr>
            <w:tcW w:w="0" w:type="auto"/>
          </w:tcPr>
          <w:p w14:paraId="1F043964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12</w:t>
            </w:r>
          </w:p>
        </w:tc>
      </w:tr>
      <w:tr w:rsidR="007D1486" w:rsidRPr="005051D2" w14:paraId="2D65C15D" w14:textId="77777777" w:rsidTr="006303C7">
        <w:trPr>
          <w:jc w:val="center"/>
        </w:trPr>
        <w:tc>
          <w:tcPr>
            <w:tcW w:w="0" w:type="auto"/>
          </w:tcPr>
          <w:p w14:paraId="100A1F78" w14:textId="77777777" w:rsidR="007D1486" w:rsidRPr="005051D2" w:rsidRDefault="007D1486" w:rsidP="006303C7">
            <w:pPr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 xml:space="preserve">TMA </w:t>
            </w:r>
            <w:r w:rsidRPr="005051D2">
              <w:rPr>
                <w:rFonts w:ascii="Palatino Linotype" w:hAnsi="Palatino Linotype" w:cs="Calibri"/>
                <w:sz w:val="16"/>
                <w:szCs w:val="16"/>
                <w:vertAlign w:val="superscript"/>
              </w:rPr>
              <w:t>a</w:t>
            </w:r>
            <w:r w:rsidRPr="005051D2">
              <w:rPr>
                <w:rFonts w:ascii="Palatino Linotype" w:hAnsi="Palatino Linotype" w:cs="Calibri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</w:tcPr>
          <w:p w14:paraId="6F65EA5A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59.11</w:t>
            </w:r>
          </w:p>
        </w:tc>
        <w:tc>
          <w:tcPr>
            <w:tcW w:w="0" w:type="auto"/>
          </w:tcPr>
          <w:p w14:paraId="33DC69E6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0.76</w:t>
            </w:r>
          </w:p>
        </w:tc>
        <w:tc>
          <w:tcPr>
            <w:tcW w:w="0" w:type="auto"/>
          </w:tcPr>
          <w:p w14:paraId="29D77B7E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146.3&gt;118.2</w:t>
            </w:r>
          </w:p>
        </w:tc>
        <w:tc>
          <w:tcPr>
            <w:tcW w:w="0" w:type="auto"/>
          </w:tcPr>
          <w:p w14:paraId="4AA94992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34</w:t>
            </w:r>
          </w:p>
        </w:tc>
        <w:tc>
          <w:tcPr>
            <w:tcW w:w="0" w:type="auto"/>
          </w:tcPr>
          <w:p w14:paraId="5B7833BD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16</w:t>
            </w:r>
          </w:p>
        </w:tc>
      </w:tr>
      <w:tr w:rsidR="007D1486" w:rsidRPr="005051D2" w14:paraId="7772D5F9" w14:textId="77777777" w:rsidTr="006303C7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33B7CF3F" w14:textId="77777777" w:rsidR="007D1486" w:rsidRPr="005051D2" w:rsidRDefault="007D1486" w:rsidP="006303C7">
            <w:pPr>
              <w:rPr>
                <w:rFonts w:ascii="Palatino Linotype" w:hAnsi="Palatino Linotype" w:cs="Calibri"/>
                <w:sz w:val="16"/>
                <w:szCs w:val="16"/>
                <w:vertAlign w:val="superscript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TMA-d</w:t>
            </w:r>
            <w:r w:rsidRPr="00B2643E">
              <w:rPr>
                <w:rFonts w:ascii="Palatino Linotype" w:hAnsi="Palatino Linotype" w:cs="Calibri"/>
                <w:sz w:val="16"/>
                <w:szCs w:val="16"/>
                <w:vertAlign w:val="subscript"/>
              </w:rPr>
              <w:t>9</w:t>
            </w:r>
            <w:r w:rsidRPr="005051D2">
              <w:rPr>
                <w:rFonts w:ascii="Palatino Linotype" w:hAnsi="Palatino Linotype" w:cs="Calibri"/>
                <w:sz w:val="16"/>
                <w:szCs w:val="16"/>
              </w:rPr>
              <w:t xml:space="preserve"> </w:t>
            </w:r>
            <w:r w:rsidRPr="005051D2">
              <w:rPr>
                <w:rFonts w:ascii="Palatino Linotype" w:hAnsi="Palatino Linotype" w:cs="Calibri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D968226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68.17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20BB29E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0.75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5CFFD77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155.3&gt;127.2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73B7C32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0188352" w14:textId="77777777" w:rsidR="007D1486" w:rsidRPr="005051D2" w:rsidRDefault="007D1486" w:rsidP="006303C7">
            <w:pPr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20</w:t>
            </w:r>
          </w:p>
        </w:tc>
      </w:tr>
    </w:tbl>
    <w:p w14:paraId="0B87B4F6" w14:textId="05600CF3" w:rsidR="007D1486" w:rsidRDefault="007D1486" w:rsidP="007D1486">
      <w:pPr>
        <w:pStyle w:val="MDPI31text"/>
        <w:spacing w:line="240" w:lineRule="auto"/>
        <w:ind w:left="1440" w:right="1374" w:firstLine="0"/>
        <w:rPr>
          <w:rFonts w:eastAsiaTheme="minorHAnsi" w:cstheme="minorBidi"/>
          <w:color w:val="000000" w:themeColor="text1"/>
          <w:sz w:val="16"/>
          <w:szCs w:val="16"/>
        </w:rPr>
      </w:pPr>
      <w:r w:rsidRPr="00120730">
        <w:rPr>
          <w:rFonts w:eastAsiaTheme="minorHAnsi" w:cstheme="minorBidi"/>
          <w:color w:val="000000" w:themeColor="text1"/>
          <w:sz w:val="16"/>
          <w:szCs w:val="16"/>
        </w:rPr>
        <w:t xml:space="preserve">Abbreviations: TMAO, trimethylamine </w:t>
      </w:r>
      <w:r w:rsidRPr="00120730">
        <w:rPr>
          <w:rFonts w:eastAsiaTheme="minorHAnsi" w:cstheme="minorBidi"/>
          <w:i/>
          <w:iCs/>
          <w:color w:val="000000" w:themeColor="text1"/>
          <w:sz w:val="16"/>
          <w:szCs w:val="16"/>
        </w:rPr>
        <w:t>N</w:t>
      </w:r>
      <w:r w:rsidRPr="00120730">
        <w:rPr>
          <w:rFonts w:eastAsiaTheme="minorHAnsi" w:cstheme="minorBidi"/>
          <w:color w:val="000000" w:themeColor="text1"/>
          <w:sz w:val="16"/>
          <w:szCs w:val="16"/>
        </w:rPr>
        <w:t xml:space="preserve">-oxide; TMA, trimethylamine; MW, molecular weight; RT, retention time CV, cone voltage; and CE, collision energy. </w:t>
      </w:r>
      <w:r w:rsidRPr="00120730">
        <w:rPr>
          <w:rFonts w:eastAsiaTheme="minorHAnsi" w:cstheme="minorBidi"/>
          <w:color w:val="000000" w:themeColor="text1"/>
          <w:sz w:val="16"/>
          <w:szCs w:val="16"/>
          <w:vertAlign w:val="superscript"/>
        </w:rPr>
        <w:t>a</w:t>
      </w:r>
      <w:r w:rsidRPr="00120730">
        <w:rPr>
          <w:rFonts w:eastAsiaTheme="minorHAnsi" w:cstheme="minorBidi"/>
          <w:color w:val="000000" w:themeColor="text1"/>
          <w:sz w:val="16"/>
          <w:szCs w:val="16"/>
        </w:rPr>
        <w:t xml:space="preserve"> Molecular weight listed is for the original molecules, and MS/MS transitions listed for derivatives (ethyl betaine and ethyl betaine-d</w:t>
      </w:r>
      <w:r w:rsidRPr="00B2643E">
        <w:rPr>
          <w:rFonts w:eastAsiaTheme="minorHAnsi" w:cstheme="minorBidi"/>
          <w:color w:val="000000" w:themeColor="text1"/>
          <w:sz w:val="16"/>
          <w:szCs w:val="16"/>
          <w:vertAlign w:val="subscript"/>
        </w:rPr>
        <w:t>9</w:t>
      </w:r>
      <w:r w:rsidRPr="00120730">
        <w:rPr>
          <w:rFonts w:eastAsiaTheme="minorHAnsi" w:cstheme="minorBidi"/>
          <w:color w:val="000000" w:themeColor="text1"/>
          <w:sz w:val="16"/>
          <w:szCs w:val="16"/>
        </w:rPr>
        <w:t>).</w:t>
      </w:r>
    </w:p>
    <w:p w14:paraId="50DD7BB3" w14:textId="5BDF6F6C" w:rsidR="007D1486" w:rsidRDefault="007D1486" w:rsidP="007D1486">
      <w:pPr>
        <w:pStyle w:val="MDPI31text"/>
        <w:spacing w:line="240" w:lineRule="auto"/>
        <w:ind w:left="1440" w:right="1374" w:firstLine="0"/>
        <w:rPr>
          <w:rFonts w:eastAsiaTheme="minorHAnsi" w:cstheme="minorBidi"/>
          <w:color w:val="000000" w:themeColor="text1"/>
          <w:sz w:val="16"/>
          <w:szCs w:val="16"/>
        </w:rPr>
      </w:pPr>
    </w:p>
    <w:p w14:paraId="25C26391" w14:textId="77777777" w:rsidR="007D1486" w:rsidRDefault="007D1486" w:rsidP="007D1486">
      <w:pPr>
        <w:pStyle w:val="MDPI31text"/>
        <w:spacing w:line="240" w:lineRule="auto"/>
        <w:ind w:left="1440" w:right="1374" w:firstLine="0"/>
        <w:rPr>
          <w:rFonts w:eastAsiaTheme="minorHAnsi" w:cstheme="minorBidi"/>
          <w:color w:val="000000" w:themeColor="text1"/>
          <w:sz w:val="16"/>
          <w:szCs w:val="16"/>
        </w:rPr>
      </w:pPr>
    </w:p>
    <w:p w14:paraId="3580C8EF" w14:textId="28A94AA6" w:rsidR="007D1486" w:rsidRDefault="007D1486" w:rsidP="007D1486">
      <w:pPr>
        <w:pStyle w:val="MDPI31text"/>
        <w:spacing w:line="240" w:lineRule="auto"/>
        <w:ind w:left="1440" w:right="1374" w:firstLine="0"/>
        <w:rPr>
          <w:rFonts w:eastAsiaTheme="minorHAnsi" w:cstheme="minorBidi"/>
          <w:color w:val="000000" w:themeColor="text1"/>
          <w:sz w:val="16"/>
          <w:szCs w:val="16"/>
        </w:rPr>
      </w:pPr>
    </w:p>
    <w:p w14:paraId="2C35B40D" w14:textId="4B9745DD" w:rsidR="007D1486" w:rsidRPr="00120730" w:rsidRDefault="007D1486" w:rsidP="007D1486">
      <w:pPr>
        <w:pStyle w:val="MDPI31text"/>
        <w:spacing w:line="240" w:lineRule="auto"/>
        <w:ind w:right="-66" w:firstLine="0"/>
        <w:rPr>
          <w:rFonts w:eastAsiaTheme="minorHAnsi" w:cstheme="minorBidi"/>
          <w:color w:val="000000" w:themeColor="text1"/>
          <w:sz w:val="16"/>
          <w:szCs w:val="16"/>
        </w:rPr>
      </w:pPr>
      <w:r w:rsidRPr="00120730">
        <w:rPr>
          <w:rFonts w:eastAsiaTheme="minorHAnsi" w:cstheme="minorBidi"/>
          <w:b/>
          <w:bCs/>
          <w:color w:val="000000" w:themeColor="text1"/>
          <w:sz w:val="16"/>
          <w:szCs w:val="16"/>
        </w:rPr>
        <w:t xml:space="preserve">Table </w:t>
      </w:r>
      <w:r>
        <w:rPr>
          <w:rFonts w:eastAsiaTheme="minorHAnsi" w:cstheme="minorBidi"/>
          <w:b/>
          <w:bCs/>
          <w:color w:val="000000" w:themeColor="text1"/>
          <w:sz w:val="16"/>
          <w:szCs w:val="16"/>
        </w:rPr>
        <w:t>S</w:t>
      </w:r>
      <w:r w:rsidRPr="00120730">
        <w:rPr>
          <w:rFonts w:eastAsiaTheme="minorHAnsi" w:cstheme="minorBidi"/>
          <w:b/>
          <w:bCs/>
          <w:color w:val="000000" w:themeColor="text1"/>
          <w:sz w:val="16"/>
          <w:szCs w:val="16"/>
        </w:rPr>
        <w:t>2</w:t>
      </w:r>
      <w:r w:rsidRPr="00120730">
        <w:rPr>
          <w:rFonts w:eastAsiaTheme="minorHAnsi" w:cstheme="minorBidi"/>
          <w:color w:val="000000" w:themeColor="text1"/>
          <w:sz w:val="16"/>
          <w:szCs w:val="16"/>
        </w:rPr>
        <w:t xml:space="preserve">: Parameters for the quantification of TMA and TMA-related compounds in spiked fecal fermentation samples by UPLC-MS/MS.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9"/>
        <w:gridCol w:w="1710"/>
        <w:gridCol w:w="576"/>
        <w:gridCol w:w="1675"/>
        <w:gridCol w:w="589"/>
        <w:gridCol w:w="979"/>
        <w:gridCol w:w="1095"/>
        <w:gridCol w:w="1096"/>
      </w:tblGrid>
      <w:tr w:rsidR="007D1486" w:rsidRPr="005051D2" w14:paraId="5A4A8868" w14:textId="77777777" w:rsidTr="006303C7">
        <w:trPr>
          <w:jc w:val="center"/>
        </w:trPr>
        <w:tc>
          <w:tcPr>
            <w:tcW w:w="1439" w:type="dxa"/>
            <w:tcBorders>
              <w:bottom w:val="single" w:sz="4" w:space="0" w:color="auto"/>
            </w:tcBorders>
          </w:tcPr>
          <w:p w14:paraId="2349233A" w14:textId="77777777" w:rsidR="007D1486" w:rsidRPr="005051D2" w:rsidRDefault="007D1486" w:rsidP="006303C7">
            <w:pPr>
              <w:adjustRightInd w:val="0"/>
              <w:rPr>
                <w:rFonts w:ascii="Palatino Linotype" w:hAnsi="Palatino Linotype" w:cs="Calibri"/>
                <w:b/>
                <w:bCs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Compound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7D93881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b/>
                <w:bCs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Calibration curve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14:paraId="7359998B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b/>
                <w:bCs/>
                <w:sz w:val="16"/>
                <w:szCs w:val="16"/>
                <w:vertAlign w:val="superscript"/>
              </w:rPr>
            </w:pP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R</w:t>
            </w: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14:paraId="4F646893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b/>
                <w:bCs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Working linearity</w:t>
            </w:r>
          </w:p>
          <w:p w14:paraId="5A0CABA3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b/>
                <w:bCs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range (</w:t>
            </w: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sym w:font="Symbol" w:char="F06D"/>
            </w: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M)</w:t>
            </w: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14:paraId="33217D0F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b/>
                <w:bCs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LOD (</w:t>
            </w: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sym w:font="Symbol" w:char="F06D"/>
            </w: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M)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6C7710E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b/>
                <w:bCs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LOQ (</w:t>
            </w: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sym w:font="Symbol" w:char="F06D"/>
            </w: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M)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C49004D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b/>
                <w:bCs/>
                <w:sz w:val="16"/>
                <w:szCs w:val="16"/>
                <w:vertAlign w:val="superscript"/>
              </w:rPr>
            </w:pP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MDL (</w:t>
            </w: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sym w:font="Symbol" w:char="F06D"/>
            </w: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 xml:space="preserve">M) </w:t>
            </w: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79D5820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b/>
                <w:bCs/>
                <w:sz w:val="16"/>
                <w:szCs w:val="16"/>
                <w:vertAlign w:val="superscript"/>
              </w:rPr>
            </w:pP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MQL (</w:t>
            </w: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sym w:font="Symbol" w:char="F06D"/>
            </w: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 xml:space="preserve">M) </w:t>
            </w:r>
            <w:r w:rsidRPr="005051D2">
              <w:rPr>
                <w:rFonts w:ascii="Palatino Linotype" w:hAnsi="Palatino Linotype" w:cs="Calibri"/>
                <w:b/>
                <w:bCs/>
                <w:sz w:val="16"/>
                <w:szCs w:val="16"/>
                <w:vertAlign w:val="superscript"/>
              </w:rPr>
              <w:t>a</w:t>
            </w:r>
          </w:p>
        </w:tc>
      </w:tr>
      <w:tr w:rsidR="007D1486" w:rsidRPr="005051D2" w14:paraId="12256E32" w14:textId="77777777" w:rsidTr="006303C7">
        <w:trPr>
          <w:jc w:val="center"/>
        </w:trPr>
        <w:tc>
          <w:tcPr>
            <w:tcW w:w="1439" w:type="dxa"/>
            <w:tcBorders>
              <w:top w:val="single" w:sz="4" w:space="0" w:color="auto"/>
            </w:tcBorders>
          </w:tcPr>
          <w:p w14:paraId="785FF43D" w14:textId="77777777" w:rsidR="007D1486" w:rsidRPr="005051D2" w:rsidRDefault="007D1486" w:rsidP="006303C7">
            <w:pPr>
              <w:adjustRightInd w:val="0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Choline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429CF09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y = 0.765x + 3.003</w:t>
            </w:r>
          </w:p>
        </w:tc>
        <w:tc>
          <w:tcPr>
            <w:tcW w:w="576" w:type="dxa"/>
            <w:tcBorders>
              <w:top w:val="single" w:sz="4" w:space="0" w:color="auto"/>
            </w:tcBorders>
          </w:tcPr>
          <w:p w14:paraId="22F83DF3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0.997</w:t>
            </w:r>
          </w:p>
        </w:tc>
        <w:tc>
          <w:tcPr>
            <w:tcW w:w="1675" w:type="dxa"/>
            <w:tcBorders>
              <w:top w:val="single" w:sz="4" w:space="0" w:color="auto"/>
            </w:tcBorders>
          </w:tcPr>
          <w:p w14:paraId="286D572A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1.93 – 247.10</w:t>
            </w:r>
          </w:p>
        </w:tc>
        <w:tc>
          <w:tcPr>
            <w:tcW w:w="589" w:type="dxa"/>
            <w:tcBorders>
              <w:top w:val="single" w:sz="4" w:space="0" w:color="auto"/>
            </w:tcBorders>
          </w:tcPr>
          <w:p w14:paraId="05B5AF77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0.488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6192D77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1.628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EF201C7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0.977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3AF714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3.256</w:t>
            </w:r>
          </w:p>
        </w:tc>
      </w:tr>
      <w:tr w:rsidR="007D1486" w:rsidRPr="005051D2" w14:paraId="6E5E8560" w14:textId="77777777" w:rsidTr="006303C7">
        <w:trPr>
          <w:jc w:val="center"/>
        </w:trPr>
        <w:tc>
          <w:tcPr>
            <w:tcW w:w="1439" w:type="dxa"/>
          </w:tcPr>
          <w:p w14:paraId="410122EB" w14:textId="77777777" w:rsidR="007D1486" w:rsidRPr="005051D2" w:rsidRDefault="007D1486" w:rsidP="006303C7">
            <w:pPr>
              <w:adjustRightInd w:val="0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L-carnitine</w:t>
            </w:r>
          </w:p>
        </w:tc>
        <w:tc>
          <w:tcPr>
            <w:tcW w:w="1710" w:type="dxa"/>
          </w:tcPr>
          <w:p w14:paraId="63A57865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y = 5.932x – 4.723</w:t>
            </w:r>
          </w:p>
        </w:tc>
        <w:tc>
          <w:tcPr>
            <w:tcW w:w="576" w:type="dxa"/>
          </w:tcPr>
          <w:p w14:paraId="5E08B187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0.997</w:t>
            </w:r>
          </w:p>
        </w:tc>
        <w:tc>
          <w:tcPr>
            <w:tcW w:w="1675" w:type="dxa"/>
          </w:tcPr>
          <w:p w14:paraId="0E8F6508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0.24 – 497.72</w:t>
            </w:r>
          </w:p>
        </w:tc>
        <w:tc>
          <w:tcPr>
            <w:tcW w:w="589" w:type="dxa"/>
          </w:tcPr>
          <w:p w14:paraId="2E23A758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0.024</w:t>
            </w:r>
          </w:p>
        </w:tc>
        <w:tc>
          <w:tcPr>
            <w:tcW w:w="0" w:type="auto"/>
          </w:tcPr>
          <w:p w14:paraId="28D7A0BB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0.081</w:t>
            </w:r>
          </w:p>
        </w:tc>
        <w:tc>
          <w:tcPr>
            <w:tcW w:w="0" w:type="auto"/>
          </w:tcPr>
          <w:p w14:paraId="733DDD87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0.049</w:t>
            </w:r>
          </w:p>
        </w:tc>
        <w:tc>
          <w:tcPr>
            <w:tcW w:w="0" w:type="auto"/>
          </w:tcPr>
          <w:p w14:paraId="27687BB5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0.162</w:t>
            </w:r>
          </w:p>
        </w:tc>
      </w:tr>
      <w:tr w:rsidR="007D1486" w:rsidRPr="005051D2" w14:paraId="001056D3" w14:textId="77777777" w:rsidTr="006303C7">
        <w:trPr>
          <w:jc w:val="center"/>
        </w:trPr>
        <w:tc>
          <w:tcPr>
            <w:tcW w:w="1439" w:type="dxa"/>
          </w:tcPr>
          <w:p w14:paraId="3B2F9DAD" w14:textId="77777777" w:rsidR="007D1486" w:rsidRPr="005051D2" w:rsidRDefault="007D1486" w:rsidP="006303C7">
            <w:pPr>
              <w:adjustRightInd w:val="0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sym w:font="Symbol" w:char="F067"/>
            </w:r>
            <w:r w:rsidRPr="005051D2">
              <w:rPr>
                <w:rFonts w:ascii="Palatino Linotype" w:hAnsi="Palatino Linotype" w:cs="Calibri"/>
                <w:sz w:val="16"/>
                <w:szCs w:val="16"/>
              </w:rPr>
              <w:t>-Butyrobetaine</w:t>
            </w:r>
          </w:p>
        </w:tc>
        <w:tc>
          <w:tcPr>
            <w:tcW w:w="1710" w:type="dxa"/>
          </w:tcPr>
          <w:p w14:paraId="2CC0BB9B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y = 0.197x + 0.181</w:t>
            </w:r>
          </w:p>
        </w:tc>
        <w:tc>
          <w:tcPr>
            <w:tcW w:w="576" w:type="dxa"/>
          </w:tcPr>
          <w:p w14:paraId="78EA0744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0.998</w:t>
            </w:r>
          </w:p>
        </w:tc>
        <w:tc>
          <w:tcPr>
            <w:tcW w:w="1675" w:type="dxa"/>
          </w:tcPr>
          <w:p w14:paraId="4525B35D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0.27 – 37.92</w:t>
            </w:r>
          </w:p>
        </w:tc>
        <w:tc>
          <w:tcPr>
            <w:tcW w:w="589" w:type="dxa"/>
          </w:tcPr>
          <w:p w14:paraId="525ED3C5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0.032</w:t>
            </w:r>
          </w:p>
        </w:tc>
        <w:tc>
          <w:tcPr>
            <w:tcW w:w="0" w:type="auto"/>
          </w:tcPr>
          <w:p w14:paraId="1AEF165E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0.105</w:t>
            </w:r>
          </w:p>
        </w:tc>
        <w:tc>
          <w:tcPr>
            <w:tcW w:w="0" w:type="auto"/>
          </w:tcPr>
          <w:p w14:paraId="6139D9E8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0.063</w:t>
            </w:r>
          </w:p>
        </w:tc>
        <w:tc>
          <w:tcPr>
            <w:tcW w:w="0" w:type="auto"/>
          </w:tcPr>
          <w:p w14:paraId="0369773F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0.210</w:t>
            </w:r>
          </w:p>
        </w:tc>
      </w:tr>
      <w:tr w:rsidR="007D1486" w:rsidRPr="005051D2" w14:paraId="18064A51" w14:textId="77777777" w:rsidTr="006303C7">
        <w:trPr>
          <w:jc w:val="center"/>
        </w:trPr>
        <w:tc>
          <w:tcPr>
            <w:tcW w:w="1439" w:type="dxa"/>
          </w:tcPr>
          <w:p w14:paraId="0DDF9334" w14:textId="77777777" w:rsidR="007D1486" w:rsidRPr="005051D2" w:rsidRDefault="007D1486" w:rsidP="006303C7">
            <w:pPr>
              <w:adjustRightInd w:val="0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TMAO</w:t>
            </w:r>
          </w:p>
        </w:tc>
        <w:tc>
          <w:tcPr>
            <w:tcW w:w="1710" w:type="dxa"/>
          </w:tcPr>
          <w:p w14:paraId="551EEE5C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y = 0.355x – 0.978</w:t>
            </w:r>
          </w:p>
        </w:tc>
        <w:tc>
          <w:tcPr>
            <w:tcW w:w="576" w:type="dxa"/>
          </w:tcPr>
          <w:p w14:paraId="1EAB16F6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0.997</w:t>
            </w:r>
          </w:p>
        </w:tc>
        <w:tc>
          <w:tcPr>
            <w:tcW w:w="1675" w:type="dxa"/>
          </w:tcPr>
          <w:p w14:paraId="249C8CF9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0.43 – 228.71</w:t>
            </w:r>
          </w:p>
        </w:tc>
        <w:tc>
          <w:tcPr>
            <w:tcW w:w="589" w:type="dxa"/>
          </w:tcPr>
          <w:p w14:paraId="24D8E960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0.011</w:t>
            </w:r>
          </w:p>
        </w:tc>
        <w:tc>
          <w:tcPr>
            <w:tcW w:w="0" w:type="auto"/>
          </w:tcPr>
          <w:p w14:paraId="307DD534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0.037</w:t>
            </w:r>
          </w:p>
        </w:tc>
        <w:tc>
          <w:tcPr>
            <w:tcW w:w="0" w:type="auto"/>
          </w:tcPr>
          <w:p w14:paraId="6668F0BF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0.075</w:t>
            </w:r>
          </w:p>
        </w:tc>
        <w:tc>
          <w:tcPr>
            <w:tcW w:w="0" w:type="auto"/>
          </w:tcPr>
          <w:p w14:paraId="62E8CCD1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0.075</w:t>
            </w:r>
          </w:p>
        </w:tc>
      </w:tr>
      <w:tr w:rsidR="007D1486" w:rsidRPr="005051D2" w14:paraId="7A0C9EDB" w14:textId="77777777" w:rsidTr="006303C7">
        <w:trPr>
          <w:jc w:val="center"/>
        </w:trPr>
        <w:tc>
          <w:tcPr>
            <w:tcW w:w="1439" w:type="dxa"/>
            <w:tcBorders>
              <w:bottom w:val="single" w:sz="4" w:space="0" w:color="auto"/>
            </w:tcBorders>
          </w:tcPr>
          <w:p w14:paraId="445DB77A" w14:textId="77777777" w:rsidR="007D1486" w:rsidRPr="005051D2" w:rsidRDefault="007D1486" w:rsidP="006303C7">
            <w:pPr>
              <w:adjustRightInd w:val="0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TMA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A54AA0C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y = 58.301x + 13.776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14:paraId="7D0C6952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0.999</w:t>
            </w: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14:paraId="60315C42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0.84 – 462.73</w:t>
            </w:r>
          </w:p>
        </w:tc>
        <w:tc>
          <w:tcPr>
            <w:tcW w:w="589" w:type="dxa"/>
            <w:tcBorders>
              <w:bottom w:val="single" w:sz="4" w:space="0" w:color="auto"/>
            </w:tcBorders>
          </w:tcPr>
          <w:p w14:paraId="60AD385A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0.194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057AF81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0.648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EF4EDC2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0.387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5521C18" w14:textId="77777777" w:rsidR="007D1486" w:rsidRPr="005051D2" w:rsidRDefault="007D1486" w:rsidP="006303C7">
            <w:pPr>
              <w:adjustRightInd w:val="0"/>
              <w:jc w:val="center"/>
              <w:rPr>
                <w:rFonts w:ascii="Palatino Linotype" w:hAnsi="Palatino Linotype" w:cs="Calibri"/>
                <w:sz w:val="16"/>
                <w:szCs w:val="16"/>
              </w:rPr>
            </w:pPr>
            <w:r w:rsidRPr="005051D2">
              <w:rPr>
                <w:rFonts w:ascii="Palatino Linotype" w:hAnsi="Palatino Linotype" w:cs="Calibri"/>
                <w:sz w:val="16"/>
                <w:szCs w:val="16"/>
              </w:rPr>
              <w:t>1.291</w:t>
            </w:r>
          </w:p>
        </w:tc>
      </w:tr>
    </w:tbl>
    <w:p w14:paraId="5137251A" w14:textId="77777777" w:rsidR="007D1486" w:rsidRPr="00120730" w:rsidRDefault="007D1486" w:rsidP="007D1486">
      <w:pPr>
        <w:pStyle w:val="MDPI31text"/>
        <w:spacing w:line="240" w:lineRule="auto"/>
        <w:ind w:right="-66" w:firstLine="0"/>
        <w:rPr>
          <w:rFonts w:eastAsiaTheme="minorHAnsi" w:cstheme="minorBidi"/>
          <w:color w:val="000000" w:themeColor="text1"/>
          <w:sz w:val="16"/>
          <w:szCs w:val="16"/>
        </w:rPr>
      </w:pPr>
      <w:r w:rsidRPr="00120730">
        <w:rPr>
          <w:rFonts w:eastAsiaTheme="minorHAnsi" w:cstheme="minorBidi"/>
          <w:color w:val="000000" w:themeColor="text1"/>
          <w:sz w:val="16"/>
          <w:szCs w:val="16"/>
        </w:rPr>
        <w:t>Abbreviations: TMAO, trimethylamine N-oxide; TMA, trimethylamine; R</w:t>
      </w:r>
      <w:r w:rsidRPr="00B2643E">
        <w:rPr>
          <w:rFonts w:eastAsiaTheme="minorHAnsi" w:cstheme="minorBidi"/>
          <w:color w:val="000000" w:themeColor="text1"/>
          <w:sz w:val="16"/>
          <w:szCs w:val="16"/>
          <w:vertAlign w:val="superscript"/>
        </w:rPr>
        <w:t>2</w:t>
      </w:r>
      <w:r w:rsidRPr="00120730">
        <w:rPr>
          <w:rFonts w:eastAsiaTheme="minorHAnsi" w:cstheme="minorBidi"/>
          <w:color w:val="000000" w:themeColor="text1"/>
          <w:sz w:val="16"/>
          <w:szCs w:val="16"/>
        </w:rPr>
        <w:t xml:space="preserve">, determination coefficient; LOD, limit of detection; LOQ, limit of quantification; MDL, method detection limit; and MQL, method quantification limit. </w:t>
      </w:r>
      <w:proofErr w:type="gramStart"/>
      <w:r w:rsidRPr="00120730">
        <w:rPr>
          <w:rFonts w:eastAsiaTheme="minorHAnsi" w:cstheme="minorBidi"/>
          <w:color w:val="000000" w:themeColor="text1"/>
          <w:sz w:val="16"/>
          <w:szCs w:val="16"/>
          <w:vertAlign w:val="superscript"/>
        </w:rPr>
        <w:t>a</w:t>
      </w:r>
      <w:proofErr w:type="gramEnd"/>
      <w:r w:rsidRPr="00120730">
        <w:rPr>
          <w:rFonts w:eastAsiaTheme="minorHAnsi" w:cstheme="minorBidi"/>
          <w:color w:val="000000" w:themeColor="text1"/>
          <w:sz w:val="16"/>
          <w:szCs w:val="16"/>
        </w:rPr>
        <w:t xml:space="preserve"> MDL and MQL for 25 </w:t>
      </w:r>
      <w:r w:rsidRPr="00120730">
        <w:rPr>
          <w:rFonts w:eastAsiaTheme="minorHAnsi" w:cstheme="minorBidi"/>
          <w:color w:val="000000" w:themeColor="text1"/>
          <w:sz w:val="16"/>
          <w:szCs w:val="16"/>
        </w:rPr>
        <w:sym w:font="Symbol" w:char="F06D"/>
      </w:r>
      <w:r w:rsidRPr="00120730">
        <w:rPr>
          <w:rFonts w:eastAsiaTheme="minorHAnsi" w:cstheme="minorBidi"/>
          <w:color w:val="000000" w:themeColor="text1"/>
          <w:sz w:val="16"/>
          <w:szCs w:val="16"/>
        </w:rPr>
        <w:t xml:space="preserve">L of fecal fermentation media. </w:t>
      </w:r>
    </w:p>
    <w:p w14:paraId="01A18346" w14:textId="3C237271" w:rsidR="007D1486" w:rsidRDefault="007D1486" w:rsidP="007D1486">
      <w:pPr>
        <w:pStyle w:val="MDPI31text"/>
        <w:spacing w:line="240" w:lineRule="auto"/>
        <w:ind w:left="1440" w:right="1374" w:firstLine="0"/>
        <w:rPr>
          <w:spacing w:val="-2"/>
          <w:sz w:val="16"/>
          <w:szCs w:val="16"/>
        </w:rPr>
      </w:pPr>
    </w:p>
    <w:p w14:paraId="36EA1D03" w14:textId="77777777" w:rsidR="007D1486" w:rsidRPr="00120730" w:rsidRDefault="007D1486" w:rsidP="007D1486">
      <w:pPr>
        <w:pStyle w:val="MDPI31text"/>
        <w:spacing w:line="240" w:lineRule="auto"/>
        <w:ind w:left="1440" w:right="1374" w:firstLine="0"/>
        <w:rPr>
          <w:spacing w:val="-2"/>
          <w:sz w:val="16"/>
          <w:szCs w:val="16"/>
        </w:rPr>
      </w:pPr>
    </w:p>
    <w:p w14:paraId="357EDC48" w14:textId="5ED58D99" w:rsidR="007D1486" w:rsidRDefault="007D1486" w:rsidP="00983C0D">
      <w:pPr>
        <w:pStyle w:val="MDPI31text"/>
        <w:spacing w:line="240" w:lineRule="auto"/>
        <w:ind w:right="-66"/>
        <w:rPr>
          <w:rFonts w:eastAsiaTheme="minorHAnsi" w:cstheme="minorBidi"/>
          <w:color w:val="000000" w:themeColor="text1"/>
          <w:sz w:val="16"/>
          <w:szCs w:val="16"/>
        </w:rPr>
      </w:pPr>
    </w:p>
    <w:p w14:paraId="41A5FF72" w14:textId="1845A297" w:rsidR="007D1486" w:rsidRDefault="007D1486" w:rsidP="007D1486">
      <w:pPr>
        <w:pStyle w:val="MDPI31text"/>
        <w:spacing w:line="240" w:lineRule="auto"/>
        <w:ind w:left="990" w:right="-66" w:firstLine="0"/>
        <w:rPr>
          <w:rFonts w:eastAsiaTheme="minorHAnsi" w:cstheme="minorBidi"/>
          <w:color w:val="000000" w:themeColor="text1"/>
          <w:sz w:val="16"/>
          <w:szCs w:val="16"/>
        </w:rPr>
      </w:pPr>
    </w:p>
    <w:p w14:paraId="427B3D18" w14:textId="0CE38B14" w:rsidR="007D1486" w:rsidRDefault="007D1486" w:rsidP="007D1486">
      <w:pPr>
        <w:pStyle w:val="MDPI31text"/>
        <w:spacing w:line="240" w:lineRule="auto"/>
        <w:ind w:left="990" w:right="-66" w:firstLine="0"/>
        <w:rPr>
          <w:rFonts w:eastAsiaTheme="minorHAnsi" w:cstheme="minorBidi"/>
          <w:color w:val="000000" w:themeColor="text1"/>
          <w:sz w:val="16"/>
          <w:szCs w:val="16"/>
        </w:rPr>
      </w:pPr>
    </w:p>
    <w:p w14:paraId="105B2B13" w14:textId="77777777" w:rsidR="007D1486" w:rsidRPr="00120730" w:rsidRDefault="007D1486" w:rsidP="007D1486">
      <w:pPr>
        <w:pStyle w:val="MDPI31text"/>
        <w:spacing w:line="240" w:lineRule="auto"/>
        <w:ind w:left="990" w:right="-66" w:firstLine="0"/>
        <w:rPr>
          <w:rFonts w:eastAsiaTheme="minorHAnsi" w:cstheme="minorBidi"/>
          <w:color w:val="000000" w:themeColor="text1"/>
          <w:sz w:val="16"/>
          <w:szCs w:val="16"/>
        </w:rPr>
      </w:pPr>
    </w:p>
    <w:p w14:paraId="2749268D" w14:textId="55C046D9" w:rsidR="007D1486" w:rsidRDefault="007D1486"/>
    <w:sectPr w:rsidR="007D1486" w:rsidSect="00C11E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486"/>
    <w:rsid w:val="001E654F"/>
    <w:rsid w:val="003C157A"/>
    <w:rsid w:val="004034A7"/>
    <w:rsid w:val="005C43F2"/>
    <w:rsid w:val="007D1486"/>
    <w:rsid w:val="00983C0D"/>
    <w:rsid w:val="00B2643E"/>
    <w:rsid w:val="00C1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52DDF"/>
  <w15:chartTrackingRefBased/>
  <w15:docId w15:val="{364A614C-A2E2-6149-881D-7BBDCBD2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2title">
    <w:name w:val="MDPI_1.2_title"/>
    <w:next w:val="MDPI13authornames"/>
    <w:qFormat/>
    <w:rsid w:val="007D1486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7D1486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7D1486"/>
    <w:pPr>
      <w:adjustRightInd w:val="0"/>
      <w:snapToGrid w:val="0"/>
      <w:spacing w:before="12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7D1486"/>
    <w:pPr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character" w:styleId="Hyperlink">
    <w:name w:val="Hyperlink"/>
    <w:uiPriority w:val="99"/>
    <w:unhideWhenUsed/>
    <w:rsid w:val="007D1486"/>
    <w:rPr>
      <w:color w:val="0563C1"/>
      <w:u w:val="single"/>
    </w:rPr>
  </w:style>
  <w:style w:type="character" w:styleId="CommentReference">
    <w:name w:val="annotation reference"/>
    <w:uiPriority w:val="99"/>
    <w:semiHidden/>
    <w:unhideWhenUsed/>
    <w:rsid w:val="007D14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486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486"/>
    <w:rPr>
      <w:rFonts w:ascii="Calibri" w:eastAsia="Calibri" w:hAnsi="Calibri" w:cs="Times New Roman"/>
      <w:sz w:val="20"/>
      <w:szCs w:val="20"/>
    </w:rPr>
  </w:style>
  <w:style w:type="table" w:styleId="TableGrid">
    <w:name w:val="Table Grid"/>
    <w:basedOn w:val="TableNormal"/>
    <w:uiPriority w:val="39"/>
    <w:rsid w:val="007D1486"/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1text">
    <w:name w:val="MDPI_3.1_text"/>
    <w:qFormat/>
    <w:rsid w:val="007D1486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ettings" Target="settings.xml"/><Relationship Id="rId7" Type="http://schemas.openxmlformats.org/officeDocument/2006/relationships/hyperlink" Target="mailto:aneilso@ncsu.ed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cracine@ncsu.edu" TargetMode="External"/><Relationship Id="rId5" Type="http://schemas.openxmlformats.org/officeDocument/2006/relationships/hyperlink" Target="mailto:liglesi@ncsu.ed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241C2F6-AA12-D547-A20D-E20E7FEC8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2021-02-11T14:39:00Z</dcterms:created>
  <dcterms:modified xsi:type="dcterms:W3CDTF">2021-04-02T14:17:00Z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http://www.zotero.org/styles/food-and-function</vt:lpwstr>
  </property>
  <property fmtid="{D5CDD505-2E9C-101B-9397-08002B2CF9AE}" pid="3" name="Mendeley Recent Style Name 0_1">
    <vt:lpwstr>Food &amp; Function</vt:lpwstr>
  </property>
  <property fmtid="{D5CDD505-2E9C-101B-9397-08002B2CF9AE}" pid="4" name="Mendeley Recent Style Id 1_1">
    <vt:lpwstr>http://www.zotero.org/styles/food-chemistry</vt:lpwstr>
  </property>
  <property fmtid="{D5CDD505-2E9C-101B-9397-08002B2CF9AE}" pid="5" name="Mendeley Recent Style Name 1_1">
    <vt:lpwstr>Food Chemistry</vt:lpwstr>
  </property>
  <property fmtid="{D5CDD505-2E9C-101B-9397-08002B2CF9AE}" pid="6" name="Mendeley Recent Style Id 2_1">
    <vt:lpwstr>http://www.zotero.org/styles/journal-of-agricultural-and-food-chemistry</vt:lpwstr>
  </property>
  <property fmtid="{D5CDD505-2E9C-101B-9397-08002B2CF9AE}" pid="7" name="Mendeley Recent Style Name 2_1">
    <vt:lpwstr>Journal of Agricultural and Food Chemistry</vt:lpwstr>
  </property>
  <property fmtid="{D5CDD505-2E9C-101B-9397-08002B2CF9AE}" pid="8" name="Mendeley Recent Style Id 3_1">
    <vt:lpwstr>http://www.zotero.org/styles/journal-of-photochemistry-and-photobiology-b-biology</vt:lpwstr>
  </property>
  <property fmtid="{D5CDD505-2E9C-101B-9397-08002B2CF9AE}" pid="9" name="Mendeley Recent Style Name 3_1">
    <vt:lpwstr>Journal of Photochemistry &amp; Photobiology, B: Biology</vt:lpwstr>
  </property>
  <property fmtid="{D5CDD505-2E9C-101B-9397-08002B2CF9AE}" pid="10" name="Mendeley Recent Style Id 4_1">
    <vt:lpwstr>http://www.zotero.org/styles/modern-humanities-research-association</vt:lpwstr>
  </property>
  <property fmtid="{D5CDD505-2E9C-101B-9397-08002B2CF9AE}" pid="11" name="Mendeley Recent Style Name 4_1">
    <vt:lpwstr>Modern Humanities Research Association 3rd edition (note with bibliography)</vt:lpwstr>
  </property>
  <property fmtid="{D5CDD505-2E9C-101B-9397-08002B2CF9AE}" pid="12" name="Mendeley Recent Style Id 5_1">
    <vt:lpwstr>http://www.zotero.org/styles/molecular-nutrition-and-food-research</vt:lpwstr>
  </property>
  <property fmtid="{D5CDD505-2E9C-101B-9397-08002B2CF9AE}" pid="13" name="Mendeley Recent Style Name 5_1">
    <vt:lpwstr>Molecular Nutrition &amp; Food Research</vt:lpwstr>
  </property>
  <property fmtid="{D5CDD505-2E9C-101B-9397-08002B2CF9AE}" pid="14" name="Mendeley Recent Style Id 6_1">
    <vt:lpwstr>http://www.zotero.org/styles/nature</vt:lpwstr>
  </property>
  <property fmtid="{D5CDD505-2E9C-101B-9397-08002B2CF9AE}" pid="15" name="Mendeley Recent Style Name 6_1">
    <vt:lpwstr>Nature</vt:lpwstr>
  </property>
  <property fmtid="{D5CDD505-2E9C-101B-9397-08002B2CF9AE}" pid="16" name="Mendeley Recent Style Id 7_1">
    <vt:lpwstr>http://www.zotero.org/styles/nutrients</vt:lpwstr>
  </property>
  <property fmtid="{D5CDD505-2E9C-101B-9397-08002B2CF9AE}" pid="17" name="Mendeley Recent Style Name 7_1">
    <vt:lpwstr>Nutrients</vt:lpwstr>
  </property>
  <property fmtid="{D5CDD505-2E9C-101B-9397-08002B2CF9AE}" pid="18" name="Mendeley Recent Style Id 8_1">
    <vt:lpwstr>http://www.zotero.org/styles/taylor-and-francis-chicago-note</vt:lpwstr>
  </property>
  <property fmtid="{D5CDD505-2E9C-101B-9397-08002B2CF9AE}" pid="19" name="Mendeley Recent Style Name 8_1">
    <vt:lpwstr>Taylor &amp; Francis - Chicago Manual of Style (note)</vt:lpwstr>
  </property>
  <property fmtid="{D5CDD505-2E9C-101B-9397-08002B2CF9AE}" pid="20" name="Mendeley Recent Style Id 9_1">
    <vt:lpwstr>http://www.zotero.org/styles/the-journal-of-nutritional-biochemistry</vt:lpwstr>
  </property>
  <property fmtid="{D5CDD505-2E9C-101B-9397-08002B2CF9AE}" pid="21" name="Mendeley Recent Style Name 9_1">
    <vt:lpwstr>The Journal of Nutritional Biochemistry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1d9a26e7-cb44-36c3-9467-ddb79a14da85</vt:lpwstr>
  </property>
  <property fmtid="{D5CDD505-2E9C-101B-9397-08002B2CF9AE}" pid="24" name="Mendeley Citation Style_1">
    <vt:lpwstr>http://www.zotero.org/styles/food-and-function</vt:lpwstr>
  </property>
</Properties>
</file>